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555555"/>
          <w:spacing w:val="0"/>
        </w:rPr>
      </w:pPr>
      <w:r>
        <w:rPr>
          <w:rFonts w:hint="eastAsia" w:ascii="方正小标宋简体" w:hAnsi="方正小标宋简体" w:eastAsia="方正小标宋简体" w:cs="方正小标宋简体"/>
          <w:i w:val="0"/>
          <w:caps w:val="0"/>
          <w:color w:val="555555"/>
          <w:spacing w:val="0"/>
          <w:shd w:val="clear" w:fill="FFFFFF"/>
        </w:rPr>
        <w:t>西北师范大学晋升职称教师教学质量评价实施办法</w:t>
      </w:r>
    </w:p>
    <w:p>
      <w:pPr>
        <w:keepNext w:val="0"/>
        <w:keepLines w:val="0"/>
        <w:widowControl/>
        <w:suppressLineNumbers w:val="0"/>
        <w:shd w:val="clear" w:fill="FFFFFF"/>
        <w:spacing w:before="0" w:beforeAutospacing="0" w:after="0" w:afterAutospacing="0" w:line="336" w:lineRule="atLeast"/>
        <w:ind w:left="0" w:right="0"/>
        <w:jc w:val="center"/>
        <w:rPr>
          <w:rFonts w:ascii="微软雅黑" w:hAnsi="微软雅黑" w:eastAsia="微软雅黑" w:cs="微软雅黑"/>
          <w:sz w:val="27"/>
          <w:szCs w:val="27"/>
        </w:rPr>
      </w:pPr>
      <w:bookmarkStart w:id="0" w:name="_GoBack"/>
      <w:bookmarkEnd w:id="0"/>
      <w:r>
        <w:rPr>
          <w:rFonts w:hint="eastAsia" w:ascii="宋体" w:hAnsi="宋体" w:eastAsia="宋体" w:cs="宋体"/>
          <w:i w:val="0"/>
          <w:caps w:val="0"/>
          <w:color w:val="000000"/>
          <w:spacing w:val="0"/>
          <w:kern w:val="0"/>
          <w:sz w:val="24"/>
          <w:szCs w:val="24"/>
          <w:shd w:val="clear" w:fill="FFFFFF"/>
          <w:lang w:val="en-US" w:eastAsia="zh-CN" w:bidi="ar"/>
        </w:rPr>
        <w:t>（试行）</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根据教育部关于深化高校教师考核评价制度改革的文件精神和甘肃省《关于印发&lt;甘肃省高等学校教师高级职务任职资格评审条件&gt;的通知》（甘人职[2015]78号）和《西北师范大学关于教授、副教授职务任职资格评审条件的补充规定》（西师发[2013]4号）的要求，学校坚持师德为先、教学为要、发展为本的基本原则，进一步完善教师教学质量评价制度。为进一步突出“学生成长这个中心，依靠教师发展这个根本，突出教学重心”的发展思路，确保客观、公正、有效地评价教师教学质量，特制定本办法。</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一、评价依据</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根据《教育部关于深化高校教师考核评价制度改革的指导意见》（教师[2016] 7号）、《西北师范大学关于进一步突出教学工作重心的实施意见》（西师党发[2016] 43号）和《关于成立西北师范大学教学督导与评估委员会的通知》（西师党发[2016] 37号）精神和《西北师范大学教学督导与评估委员会章程》等文件相关规定，对晋升职称教师教学质量进行评价。</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Style w:val="6"/>
          <w:rFonts w:hint="eastAsia" w:ascii="宋体" w:hAnsi="宋体" w:eastAsia="宋体" w:cs="宋体"/>
          <w:i w:val="0"/>
          <w:caps w:val="0"/>
          <w:color w:val="000000"/>
          <w:spacing w:val="0"/>
          <w:kern w:val="0"/>
          <w:sz w:val="24"/>
          <w:szCs w:val="24"/>
          <w:shd w:val="clear" w:fill="FFFFFF"/>
          <w:lang w:val="en-US" w:eastAsia="zh-CN" w:bidi="ar"/>
        </w:rPr>
        <w:t>二、评价对象</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教学质量评价对象为全校承担本科课堂教学的课程主讲教师，评价结果主要用于晋升职称教师资格认定及相关教学评价。拟申请评价教师应在每学期开学初2周内向教学督导与评估委员会提出申请（如有特殊情况至少要在职称评定呈交材料截止日期前3个月提出申请），由教学督导与评估委员会安排对其教学质量做出评价。</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晋升职称前5年内在校级、省级、国家级教学比赛中获得等级奖励（不含优秀奖）的教师，可提出申请，经教学督导与评估委员会复核，认定其教学质量评价结果为优秀。</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三、评价原则</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教学质量评价要建立健全教学工作质量评价标准，完善教学质量评价制度，严格教育教学工作质量考核，多维度考评教学规范、课堂教学效果、教学改革与研究、教学获奖等教学工作实绩，重视学生对教学效果的评价。突出教育教学业绩，强化教师教学业绩在职称评聘考核中的比重。教学质量评价坚持以下原则：</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1.公平性原则。教学评价工作要在统一评价标准和理念指导下，公开、公正、公平地对每位参评教师的教学业绩进行评价。</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2.导向性原则。教学工作评价要体现当前教育发展趋势，体现现代教学观，体现学生成长中心、突出教学重心、以教师发展为本，尊重教师的人格和个性。</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3.可行性原则。教学工作评估符合当前职业教育的发展趋势，与本校教学实际相适应，与不同学科和专业实际相结合，具有可操作性，简洁明了，便于实施。</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4.开放性原则。教学工作评估标准应具有开放性，注重过程的评估，为教师留有创新的空间。</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四、教学质量评估标准</w:t>
      </w:r>
    </w:p>
    <w:p>
      <w:pPr>
        <w:keepNext w:val="0"/>
        <w:keepLines w:val="0"/>
        <w:widowControl/>
        <w:suppressLineNumbers w:val="0"/>
        <w:shd w:val="clear" w:fill="FFFFFF"/>
        <w:spacing w:before="0" w:beforeAutospacing="0" w:after="0" w:afterAutospacing="0" w:line="5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设立教学准备、课堂教学、学生评价和教学研究4个一级指标和下属10个二级指标对教学质量进行考评。每个二级指标中设A、B、C、D四个等级，标准中只给出A级和C级标准，介于A级与C级之间的为B级，不满足C级的为D级。二级指标中设核心指标（指标前带＊号者）4个。评价指标体系见下表。</w:t>
      </w:r>
      <w:r>
        <w:rPr>
          <w:rStyle w:val="6"/>
          <w:rFonts w:hint="eastAsia" w:ascii="宋体" w:hAnsi="宋体" w:eastAsia="宋体" w:cs="宋体"/>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jc w:val="center"/>
        <w:rPr>
          <w:rFonts w:hint="eastAsia" w:ascii="微软雅黑" w:hAnsi="微软雅黑" w:eastAsia="微软雅黑" w:cs="微软雅黑"/>
          <w:sz w:val="27"/>
          <w:szCs w:val="27"/>
        </w:rPr>
      </w:pPr>
      <w:r>
        <w:rPr>
          <w:rStyle w:val="6"/>
          <w:rFonts w:hint="eastAsia" w:ascii="宋体" w:hAnsi="宋体" w:eastAsia="宋体" w:cs="宋体"/>
          <w:i w:val="0"/>
          <w:caps w:val="0"/>
          <w:color w:val="000000"/>
          <w:spacing w:val="0"/>
          <w:kern w:val="0"/>
          <w:sz w:val="24"/>
          <w:szCs w:val="24"/>
          <w:shd w:val="clear" w:fill="FFFFFF"/>
          <w:lang w:val="en-US" w:eastAsia="zh-CN" w:bidi="ar"/>
        </w:rPr>
        <w:t>西北师范大学教学质量评价指标体系</w:t>
      </w:r>
    </w:p>
    <w:tbl>
      <w:tblPr>
        <w:tblStyle w:val="4"/>
        <w:tblW w:w="85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05"/>
        <w:gridCol w:w="1800"/>
        <w:gridCol w:w="2850"/>
        <w:gridCol w:w="28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jc w:val="center"/>
        </w:trPr>
        <w:tc>
          <w:tcPr>
            <w:tcW w:w="1005" w:type="dxa"/>
            <w:vMerge w:val="restart"/>
            <w:tcBorders>
              <w:top w:val="single" w:color="000000" w:sz="6" w:space="0"/>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55" w:lineRule="atLeast"/>
              <w:ind w:left="0" w:right="0"/>
              <w:jc w:val="center"/>
            </w:pPr>
            <w:r>
              <w:rPr>
                <w:rStyle w:val="6"/>
                <w:rFonts w:hint="eastAsia" w:ascii="宋体" w:hAnsi="宋体" w:eastAsia="宋体" w:cs="宋体"/>
                <w:kern w:val="0"/>
                <w:sz w:val="24"/>
                <w:szCs w:val="24"/>
                <w:lang w:val="en-US" w:eastAsia="zh-CN" w:bidi="ar"/>
              </w:rPr>
              <w:t>一级</w:t>
            </w:r>
          </w:p>
          <w:p>
            <w:pPr>
              <w:keepNext w:val="0"/>
              <w:keepLines w:val="0"/>
              <w:widowControl/>
              <w:suppressLineNumbers w:val="0"/>
              <w:spacing w:before="0" w:beforeAutospacing="0" w:after="0" w:afterAutospacing="0" w:line="255" w:lineRule="atLeast"/>
              <w:ind w:left="0" w:right="0"/>
              <w:jc w:val="center"/>
            </w:pPr>
            <w:r>
              <w:rPr>
                <w:rStyle w:val="6"/>
                <w:rFonts w:hint="eastAsia" w:ascii="宋体" w:hAnsi="宋体" w:eastAsia="宋体" w:cs="宋体"/>
                <w:kern w:val="0"/>
                <w:sz w:val="24"/>
                <w:szCs w:val="24"/>
                <w:lang w:val="en-US" w:eastAsia="zh-CN" w:bidi="ar"/>
              </w:rPr>
              <w:t>指标</w:t>
            </w:r>
          </w:p>
        </w:tc>
        <w:tc>
          <w:tcPr>
            <w:tcW w:w="1800" w:type="dxa"/>
            <w:vMerge w:val="restart"/>
            <w:tcBorders>
              <w:top w:val="single" w:color="000000" w:sz="6" w:space="0"/>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55" w:lineRule="atLeast"/>
              <w:ind w:left="0" w:right="0"/>
              <w:jc w:val="center"/>
            </w:pPr>
            <w:r>
              <w:rPr>
                <w:rStyle w:val="6"/>
                <w:rFonts w:hint="eastAsia" w:ascii="宋体" w:hAnsi="宋体" w:eastAsia="宋体" w:cs="宋体"/>
                <w:kern w:val="0"/>
                <w:sz w:val="24"/>
                <w:szCs w:val="24"/>
                <w:lang w:val="en-US" w:eastAsia="zh-CN" w:bidi="ar"/>
              </w:rPr>
              <w:t>二级指标</w:t>
            </w:r>
          </w:p>
        </w:tc>
        <w:tc>
          <w:tcPr>
            <w:tcW w:w="5715" w:type="dxa"/>
            <w:gridSpan w:val="2"/>
            <w:tcBorders>
              <w:top w:val="single" w:color="000000" w:sz="6" w:space="0"/>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55" w:lineRule="atLeast"/>
              <w:ind w:left="0" w:right="0"/>
              <w:jc w:val="center"/>
            </w:pPr>
            <w:r>
              <w:rPr>
                <w:rStyle w:val="6"/>
                <w:rFonts w:hint="eastAsia" w:ascii="宋体" w:hAnsi="宋体" w:eastAsia="宋体" w:cs="宋体"/>
                <w:kern w:val="0"/>
                <w:sz w:val="24"/>
                <w:szCs w:val="24"/>
                <w:lang w:val="en-US" w:eastAsia="zh-CN" w:bidi="ar"/>
              </w:rPr>
              <w:t>等级标准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jc w:val="center"/>
        </w:trPr>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1800" w:type="dxa"/>
            <w:vMerge w:val="continue"/>
            <w:tcBorders>
              <w:top w:val="single" w:color="000000" w:sz="6" w:space="0"/>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55" w:lineRule="atLeast"/>
              <w:ind w:left="0" w:right="0"/>
              <w:jc w:val="center"/>
            </w:pPr>
            <w:r>
              <w:rPr>
                <w:rStyle w:val="6"/>
                <w:rFonts w:hint="eastAsia" w:ascii="宋体" w:hAnsi="宋体" w:eastAsia="宋体" w:cs="宋体"/>
                <w:kern w:val="0"/>
                <w:sz w:val="24"/>
                <w:szCs w:val="24"/>
                <w:lang w:val="en-US" w:eastAsia="zh-CN" w:bidi="ar"/>
              </w:rPr>
              <w:t>A</w:t>
            </w:r>
          </w:p>
        </w:tc>
        <w:tc>
          <w:tcPr>
            <w:tcW w:w="2865" w:type="dxa"/>
            <w:tcBorders>
              <w:top w:val="single" w:color="000000" w:sz="6" w:space="0"/>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55" w:lineRule="atLeast"/>
              <w:ind w:left="0" w:right="0"/>
              <w:jc w:val="center"/>
            </w:pPr>
            <w:r>
              <w:rPr>
                <w:rStyle w:val="6"/>
                <w:rFonts w:hint="eastAsia" w:ascii="宋体" w:hAnsi="宋体" w:eastAsia="宋体" w:cs="宋体"/>
                <w:kern w:val="0"/>
                <w:sz w:val="24"/>
                <w:szCs w:val="24"/>
                <w:lang w:val="en-US" w:eastAsia="zh-CN" w:bidi="ar"/>
              </w:rPr>
              <w:t>C</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1005" w:type="dxa"/>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1．</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教</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学</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准</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备</w:t>
            </w: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1.1教学文档</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教学大纲、教学进度表、记分考勤册记录清晰内容完备；课件制作精良，课程辅助资料充足，教案更新及时、完整、详尽、规范，有个人特色；作业布置、试卷命题质量高，批阅认真规范。</w:t>
            </w:r>
          </w:p>
        </w:tc>
        <w:tc>
          <w:tcPr>
            <w:tcW w:w="2865"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有教学大纲、教学进度表、教案、记分考勤册；教案有更新，对学生情况有所了解，备课较认真；作业、试卷批阅较认真。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1005" w:type="dxa"/>
            <w:vMerge w:val="restart"/>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2．</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课</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堂</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教</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学</w:t>
            </w: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2.1教学态度</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严格遵守教师行为规范和学校教学工作规程，注意优良学风的培养；治学严谨，刻苦钻研，勇于创新，责任感强；情绪饱满，仪表端庄。</w:t>
            </w:r>
          </w:p>
        </w:tc>
        <w:tc>
          <w:tcPr>
            <w:tcW w:w="2865"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遵守教师行为规范和学校教学工作规程，教学态度端正，有责任心，仪表端庄。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1005" w:type="dxa"/>
            <w:vMerge w:val="continue"/>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*2.2教学内容</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教学目标设计准确清晰；基本概念、重点、难点交代清楚，讲解透彻；授课内容正确，讲授清晰、熟练、简要；课程内容处理得当，主次分明；能够将学科前沿和最新成果融合与课堂教学之中。</w:t>
            </w:r>
          </w:p>
        </w:tc>
        <w:tc>
          <w:tcPr>
            <w:tcW w:w="2865"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有明确教学目标，授课内容正确，讲授熟悉，重点突出，教学内容组织得当。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1005" w:type="dxa"/>
            <w:vMerge w:val="continue"/>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*2.3教学方法</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能够调动学生积极参与教学，采用研究式、启发式、参与式等教学方法；善于启发学生思考，引导自主学习；教学过程中学科知识的学与教科学合理；善于应用信息化教学手段开展混合式教学且成效显著。</w:t>
            </w:r>
          </w:p>
        </w:tc>
        <w:tc>
          <w:tcPr>
            <w:tcW w:w="2865"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教学过程完整，注重改进教学方法，有调动学生积极参与课堂教学的意识与行为，注意引导学生学习，有一定的成效。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1005" w:type="dxa"/>
            <w:vMerge w:val="continue"/>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*2.4教学效果</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授课能吸引学生，学生听课专心认真；师生互动积极，课堂气氛活跃，出勤率高，学风好；学生反映对授课内容能很好地理解、消化，重点、难点掌握、理解好。</w:t>
            </w:r>
          </w:p>
        </w:tc>
        <w:tc>
          <w:tcPr>
            <w:tcW w:w="2865"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多数学生能认真听课，有一定的师生互动，学风较好。学生对授课内容能基本理解，基本掌握重点难点。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1005" w:type="dxa"/>
            <w:vMerge w:val="continue"/>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2.5实践环节</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及时审核批改实践作业、实验报告；安排课后答疑，解答学生问题；指导学生就业、创新创业、社会实践、见习实习、各类竞赛以及老中青教师“传帮带”等工作。</w:t>
            </w:r>
          </w:p>
        </w:tc>
        <w:tc>
          <w:tcPr>
            <w:tcW w:w="2865"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完成规定的课内外实践教学指导活动。</w:t>
            </w:r>
          </w:p>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jc w:val="center"/>
        </w:trPr>
        <w:tc>
          <w:tcPr>
            <w:tcW w:w="1005" w:type="dxa"/>
            <w:vMerge w:val="restart"/>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3．</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学</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生</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评</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价</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 </w:t>
            </w: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3.1网上综合</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评价</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学生的网上评教综合排名在学院前50%。</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学生的网上评教综合排名在学院前90%。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0" w:hRule="atLeast"/>
          <w:jc w:val="center"/>
        </w:trPr>
        <w:tc>
          <w:tcPr>
            <w:tcW w:w="1005" w:type="dxa"/>
            <w:vMerge w:val="continue"/>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*3.2课程满意度评价</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学生对教师所授课程满意度有1门达到90%，没有满意度低于80%的课程。</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学生对教师所授课程满意度不低于70%。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jc w:val="center"/>
        </w:trPr>
        <w:tc>
          <w:tcPr>
            <w:tcW w:w="1005" w:type="dxa"/>
            <w:vMerge w:val="restart"/>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4．</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教</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学</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研</w:t>
            </w:r>
          </w:p>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究</w:t>
            </w: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4.1教学获奖</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获得过校级（含）及以上本科教学工程项目奖项或相当级别的教学奖项。</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积极参与学院教学和管理工作，获得学院级教学相关奖励。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jc w:val="center"/>
        </w:trPr>
        <w:tc>
          <w:tcPr>
            <w:tcW w:w="1005" w:type="dxa"/>
            <w:vMerge w:val="continue"/>
            <w:tcBorders>
              <w:top w:val="nil"/>
              <w:left w:val="single" w:color="000000" w:sz="6" w:space="0"/>
              <w:bottom w:val="single" w:color="000000" w:sz="6" w:space="0"/>
              <w:right w:val="single" w:color="000000" w:sz="6" w:space="0"/>
            </w:tcBorders>
            <w:shd w:val="clear" w:color="auto" w:fill="auto"/>
            <w:tcMar>
              <w:top w:w="45" w:type="dxa"/>
              <w:left w:w="105" w:type="dxa"/>
              <w:bottom w:w="45" w:type="dxa"/>
              <w:right w:w="105" w:type="dxa"/>
            </w:tcMar>
            <w:vAlign w:val="center"/>
          </w:tcPr>
          <w:p>
            <w:pPr>
              <w:rPr>
                <w:rFonts w:hint="eastAsia" w:ascii="宋体"/>
                <w:sz w:val="24"/>
                <w:szCs w:val="24"/>
              </w:rPr>
            </w:pPr>
          </w:p>
        </w:tc>
        <w:tc>
          <w:tcPr>
            <w:tcW w:w="180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kern w:val="0"/>
                <w:sz w:val="24"/>
                <w:szCs w:val="24"/>
                <w:lang w:val="en-US" w:eastAsia="zh-CN" w:bidi="ar"/>
              </w:rPr>
              <w:t>4.2教学研究</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在C类及以上期刊发表过教学类论文或主持过校级（含）以上教学研究项目。</w:t>
            </w:r>
          </w:p>
        </w:tc>
        <w:tc>
          <w:tcPr>
            <w:tcW w:w="2850" w:type="dxa"/>
            <w:tcBorders>
              <w:top w:val="nil"/>
              <w:left w:val="nil"/>
              <w:bottom w:val="single" w:color="000000" w:sz="6" w:space="0"/>
              <w:right w:val="single" w:color="000000" w:sz="6" w:space="0"/>
            </w:tcBorders>
            <w:shd w:val="clear" w:color="auto" w:fill="auto"/>
            <w:tcMar>
              <w:top w:w="45" w:type="dxa"/>
              <w:left w:w="105" w:type="dxa"/>
              <w:bottom w:w="45" w:type="dxa"/>
              <w:right w:w="105" w:type="dxa"/>
            </w:tcMar>
            <w:vAlign w:val="center"/>
          </w:tcPr>
          <w:p>
            <w:pPr>
              <w:keepNext w:val="0"/>
              <w:keepLines w:val="0"/>
              <w:widowControl/>
              <w:suppressLineNumbers w:val="0"/>
              <w:spacing w:before="0" w:beforeAutospacing="0" w:after="0" w:afterAutospacing="0" w:line="240" w:lineRule="atLeast"/>
              <w:ind w:left="0" w:right="0"/>
              <w:jc w:val="left"/>
            </w:pPr>
            <w:r>
              <w:rPr>
                <w:rFonts w:hint="eastAsia" w:ascii="宋体" w:hAnsi="宋体" w:eastAsia="宋体" w:cs="宋体"/>
                <w:kern w:val="0"/>
                <w:sz w:val="24"/>
                <w:szCs w:val="24"/>
                <w:lang w:val="en-US" w:eastAsia="zh-CN" w:bidi="ar"/>
              </w:rPr>
              <w:t>主持过学院教学研究项目，帮助学院起草教学管理和改革类文档，提出一些教学改革思路。</w:t>
            </w:r>
          </w:p>
        </w:tc>
      </w:tr>
    </w:tbl>
    <w:p>
      <w:pPr>
        <w:keepNext w:val="0"/>
        <w:keepLines w:val="0"/>
        <w:widowControl/>
        <w:suppressLineNumbers w:val="0"/>
        <w:shd w:val="clear" w:fill="FFFFFF"/>
        <w:spacing w:before="0" w:beforeAutospacing="0" w:after="0" w:afterAutospacing="0" w:line="240"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五、评估组织与程序</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1.教学督导与评估委员会受理教师的申请，并在不少于1个月的评价期内开展评价工作。</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2.教学督导与评估委员会根据申请教师的专业背景，成立考评小组。考评小组一般由3～5名委员组成，设组长1名，负责考评的组织工作。</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3.考评小组应严格按照评价指标体系指标通过听课（不少于2次）、审查教学文档材料、调查、考察等方式，严肃、认真、客观、公平地做出评价结论。考评小组的每位成员应单独填写个人考评表（附件1）。组长在组织小组讨论、汇总各成员的考评意见后，填写小组考评表和评价结论意见（附件2）。</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4.学生评价结果数据由教务管理系统提供，教学研究数据由学院提供，须经教务处审核。</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5.评价工作中形成的材料应及时归档，并在规定时间内提交给人事处，作为职称评定的依据。</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六、评估结论</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1.评估结论分为优秀、良好、合格、不合格四种。其标准如下（按二级指标）：</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优秀：A≥7,B+C≤3,D=0;其中核心指标A≥3，B≤1。</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良好：A+B≥8, C≤2,D=0;其中核心指标A+B≥4。</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合格：A+B+C≥8，D≤2；其中核心指标D≤1。</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不合格：D≥3。</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2.晋升职称教学质量评价结论有效期限为2年，结论有效期内可再次申请评价，但每学期只能提出1次申请。</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七、其他</w:t>
      </w:r>
    </w:p>
    <w:p>
      <w:pPr>
        <w:keepNext w:val="0"/>
        <w:keepLines w:val="0"/>
        <w:widowControl/>
        <w:suppressLineNumbers w:val="0"/>
        <w:shd w:val="clear" w:fill="FFFFFF"/>
        <w:spacing w:before="0" w:beforeAutospacing="0" w:after="0" w:afterAutospacing="0" w:line="555" w:lineRule="atLeast"/>
        <w:ind w:left="0" w:right="0" w:firstLine="585"/>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1.本标准及评价办法由教学督导与评估委员会负责解释。</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2.本办法从2016年11月起开始试行。 </w:t>
      </w:r>
    </w:p>
    <w:p>
      <w:pPr>
        <w:keepNext w:val="0"/>
        <w:keepLines w:val="0"/>
        <w:widowControl/>
        <w:suppressLineNumbers w:val="0"/>
        <w:shd w:val="clear" w:fill="FFFFFF"/>
        <w:spacing w:before="0" w:beforeAutospacing="0" w:after="0" w:afterAutospacing="0" w:line="555" w:lineRule="atLeast"/>
        <w:ind w:left="0" w:right="0" w:firstLine="6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55" w:lineRule="atLeast"/>
        <w:ind w:left="0" w:right="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附件 1.</w:t>
      </w:r>
      <w:r>
        <w:rPr>
          <w:rFonts w:ascii="仿宋" w:hAnsi="仿宋" w:eastAsia="仿宋" w:cs="仿宋"/>
          <w:i w:val="0"/>
          <w:caps w:val="0"/>
          <w:color w:val="000000"/>
          <w:spacing w:val="0"/>
          <w:kern w:val="0"/>
          <w:sz w:val="24"/>
          <w:szCs w:val="24"/>
          <w:shd w:val="clear" w:fill="FFFFFF"/>
          <w:lang w:val="en-US" w:eastAsia="zh-CN" w:bidi="ar"/>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24"/>
          <w:szCs w:val="24"/>
          <w:u w:val="none"/>
          <w:shd w:val="clear" w:fill="FFFFFF"/>
          <w:lang w:val="en-US" w:eastAsia="zh-CN" w:bidi="ar"/>
        </w:rPr>
        <w:fldChar w:fldCharType="begin"/>
      </w:r>
      <w:r>
        <w:rPr>
          <w:rFonts w:hint="eastAsia" w:ascii="宋体" w:hAnsi="宋体" w:eastAsia="宋体" w:cs="宋体"/>
          <w:i w:val="0"/>
          <w:caps w:val="0"/>
          <w:color w:val="000000"/>
          <w:spacing w:val="0"/>
          <w:kern w:val="0"/>
          <w:sz w:val="24"/>
          <w:szCs w:val="24"/>
          <w:u w:val="none"/>
          <w:shd w:val="clear" w:fill="FFFFFF"/>
          <w:lang w:val="en-US" w:eastAsia="zh-CN" w:bidi="ar"/>
        </w:rPr>
        <w:instrText xml:space="preserve"> HYPERLINK "https://jxzljk.nwnu.edu.cn/_upload/article/files/2e/94/51c7d4784aafbb2e1aea266c62da/f46e002c-8107-4c08-b8b6-53050aa6e930.doc" </w:instrText>
      </w:r>
      <w:r>
        <w:rPr>
          <w:rFonts w:hint="eastAsia" w:ascii="宋体" w:hAnsi="宋体" w:eastAsia="宋体" w:cs="宋体"/>
          <w:i w:val="0"/>
          <w:caps w:val="0"/>
          <w:color w:val="000000"/>
          <w:spacing w:val="0"/>
          <w:kern w:val="0"/>
          <w:sz w:val="24"/>
          <w:szCs w:val="24"/>
          <w:u w:val="none"/>
          <w:shd w:val="clear" w:fill="FFFFFF"/>
          <w:lang w:val="en-US" w:eastAsia="zh-CN" w:bidi="ar"/>
        </w:rPr>
        <w:fldChar w:fldCharType="separate"/>
      </w:r>
      <w:r>
        <w:rPr>
          <w:rStyle w:val="7"/>
          <w:rFonts w:hint="eastAsia" w:ascii="宋体" w:hAnsi="宋体" w:eastAsia="宋体" w:cs="宋体"/>
          <w:i w:val="0"/>
          <w:caps w:val="0"/>
          <w:color w:val="000000"/>
          <w:spacing w:val="0"/>
          <w:sz w:val="24"/>
          <w:szCs w:val="24"/>
          <w:u w:val="none"/>
          <w:shd w:val="clear" w:fill="FFFFFF"/>
        </w:rPr>
        <w:t>西北师范大学教学质量标准及个人考评表.docx</w:t>
      </w:r>
      <w:r>
        <w:rPr>
          <w:rFonts w:hint="eastAsia" w:ascii="宋体" w:hAnsi="宋体" w:eastAsia="宋体" w:cs="宋体"/>
          <w:i w:val="0"/>
          <w:caps w:val="0"/>
          <w:color w:val="000000"/>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55" w:lineRule="atLeast"/>
        <w:ind w:left="0" w:right="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2.</w:t>
      </w:r>
      <w:r>
        <w:rPr>
          <w:rFonts w:hint="eastAsia" w:ascii="仿宋" w:hAnsi="仿宋" w:eastAsia="仿宋" w:cs="仿宋"/>
          <w:i w:val="0"/>
          <w:caps w:val="0"/>
          <w:color w:val="000000"/>
          <w:spacing w:val="0"/>
          <w:kern w:val="0"/>
          <w:sz w:val="24"/>
          <w:szCs w:val="24"/>
          <w:shd w:val="clear" w:fill="FFFFFF"/>
          <w:lang w:val="en-US" w:eastAsia="zh-CN" w:bidi="ar"/>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24"/>
          <w:szCs w:val="24"/>
          <w:u w:val="none"/>
          <w:shd w:val="clear" w:fill="FFFFFF"/>
          <w:lang w:val="en-US" w:eastAsia="zh-CN" w:bidi="ar"/>
        </w:rPr>
        <w:fldChar w:fldCharType="begin"/>
      </w:r>
      <w:r>
        <w:rPr>
          <w:rFonts w:hint="eastAsia" w:ascii="宋体" w:hAnsi="宋体" w:eastAsia="宋体" w:cs="宋体"/>
          <w:i w:val="0"/>
          <w:caps w:val="0"/>
          <w:color w:val="000000"/>
          <w:spacing w:val="0"/>
          <w:kern w:val="0"/>
          <w:sz w:val="24"/>
          <w:szCs w:val="24"/>
          <w:u w:val="none"/>
          <w:shd w:val="clear" w:fill="FFFFFF"/>
          <w:lang w:val="en-US" w:eastAsia="zh-CN" w:bidi="ar"/>
        </w:rPr>
        <w:instrText xml:space="preserve"> HYPERLINK "https://jxzljk.nwnu.edu.cn/_upload/article/files/2e/94/51c7d4784aafbb2e1aea266c62da/66febe8e-2a4b-4bd4-bd79-778d674d0908.doc" </w:instrText>
      </w:r>
      <w:r>
        <w:rPr>
          <w:rFonts w:hint="eastAsia" w:ascii="宋体" w:hAnsi="宋体" w:eastAsia="宋体" w:cs="宋体"/>
          <w:i w:val="0"/>
          <w:caps w:val="0"/>
          <w:color w:val="000000"/>
          <w:spacing w:val="0"/>
          <w:kern w:val="0"/>
          <w:sz w:val="24"/>
          <w:szCs w:val="24"/>
          <w:u w:val="none"/>
          <w:shd w:val="clear" w:fill="FFFFFF"/>
          <w:lang w:val="en-US" w:eastAsia="zh-CN" w:bidi="ar"/>
        </w:rPr>
        <w:fldChar w:fldCharType="separate"/>
      </w:r>
      <w:r>
        <w:rPr>
          <w:rStyle w:val="7"/>
          <w:rFonts w:hint="eastAsia" w:ascii="宋体" w:hAnsi="宋体" w:eastAsia="宋体" w:cs="宋体"/>
          <w:i w:val="0"/>
          <w:caps w:val="0"/>
          <w:color w:val="000000"/>
          <w:spacing w:val="0"/>
          <w:sz w:val="24"/>
          <w:szCs w:val="24"/>
          <w:u w:val="none"/>
          <w:shd w:val="clear" w:fill="FFFFFF"/>
        </w:rPr>
        <w:t>西北师范大学教学质量考评小组考评表.docx</w:t>
      </w:r>
      <w:r>
        <w:rPr>
          <w:rFonts w:hint="eastAsia" w:ascii="宋体" w:hAnsi="宋体" w:eastAsia="宋体" w:cs="宋体"/>
          <w:i w:val="0"/>
          <w:caps w:val="0"/>
          <w:color w:val="000000"/>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55" w:lineRule="atLeast"/>
        <w:ind w:left="0" w:right="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3.</w:t>
      </w:r>
      <w:r>
        <w:rPr>
          <w:rFonts w:hint="eastAsia" w:ascii="仿宋" w:hAnsi="仿宋" w:eastAsia="仿宋" w:cs="仿宋"/>
          <w:i w:val="0"/>
          <w:caps w:val="0"/>
          <w:color w:val="000000"/>
          <w:spacing w:val="0"/>
          <w:kern w:val="0"/>
          <w:sz w:val="24"/>
          <w:szCs w:val="24"/>
          <w:shd w:val="clear" w:fill="FFFFFF"/>
          <w:lang w:val="en-US" w:eastAsia="zh-CN" w:bidi="ar"/>
        </w:rPr>
        <w:drawing>
          <wp:inline distT="0" distB="0" distL="114300" distR="114300">
            <wp:extent cx="152400" cy="1524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24"/>
          <w:szCs w:val="24"/>
          <w:u w:val="none"/>
          <w:shd w:val="clear" w:fill="FFFFFF"/>
          <w:lang w:val="en-US" w:eastAsia="zh-CN" w:bidi="ar"/>
        </w:rPr>
        <w:fldChar w:fldCharType="begin"/>
      </w:r>
      <w:r>
        <w:rPr>
          <w:rFonts w:hint="eastAsia" w:ascii="宋体" w:hAnsi="宋体" w:eastAsia="宋体" w:cs="宋体"/>
          <w:i w:val="0"/>
          <w:caps w:val="0"/>
          <w:color w:val="000000"/>
          <w:spacing w:val="0"/>
          <w:kern w:val="0"/>
          <w:sz w:val="24"/>
          <w:szCs w:val="24"/>
          <w:u w:val="none"/>
          <w:shd w:val="clear" w:fill="FFFFFF"/>
          <w:lang w:val="en-US" w:eastAsia="zh-CN" w:bidi="ar"/>
        </w:rPr>
        <w:instrText xml:space="preserve"> HYPERLINK "https://jxzljk.nwnu.edu.cn/_upload/article/files/2e/94/51c7d4784aafbb2e1aea266c62da/39635ea6-4a91-42f1-8501-bff301c72601.doc" </w:instrText>
      </w:r>
      <w:r>
        <w:rPr>
          <w:rFonts w:hint="eastAsia" w:ascii="宋体" w:hAnsi="宋体" w:eastAsia="宋体" w:cs="宋体"/>
          <w:i w:val="0"/>
          <w:caps w:val="0"/>
          <w:color w:val="000000"/>
          <w:spacing w:val="0"/>
          <w:kern w:val="0"/>
          <w:sz w:val="24"/>
          <w:szCs w:val="24"/>
          <w:u w:val="none"/>
          <w:shd w:val="clear" w:fill="FFFFFF"/>
          <w:lang w:val="en-US" w:eastAsia="zh-CN" w:bidi="ar"/>
        </w:rPr>
        <w:fldChar w:fldCharType="separate"/>
      </w:r>
      <w:r>
        <w:rPr>
          <w:rStyle w:val="7"/>
          <w:rFonts w:hint="eastAsia" w:ascii="宋体" w:hAnsi="宋体" w:eastAsia="宋体" w:cs="宋体"/>
          <w:i w:val="0"/>
          <w:caps w:val="0"/>
          <w:color w:val="000000"/>
          <w:spacing w:val="0"/>
          <w:sz w:val="24"/>
          <w:szCs w:val="24"/>
          <w:u w:val="none"/>
          <w:shd w:val="clear" w:fill="FFFFFF"/>
        </w:rPr>
        <w:t>西北师范大学教师教学质量评价申请表.docx</w:t>
      </w:r>
      <w:r>
        <w:rPr>
          <w:rFonts w:hint="eastAsia" w:ascii="宋体" w:hAnsi="宋体" w:eastAsia="宋体" w:cs="宋体"/>
          <w:i w:val="0"/>
          <w:caps w:val="0"/>
          <w:color w:val="000000"/>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55" w:lineRule="atLeast"/>
        <w:ind w:left="0" w:right="0" w:firstLine="90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55" w:lineRule="atLeast"/>
        <w:ind w:left="0" w:right="0"/>
        <w:jc w:val="lef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55" w:lineRule="atLeast"/>
        <w:ind w:left="0" w:right="0"/>
        <w:jc w:val="righ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西北师范大学教学督导评估委员会</w:t>
      </w:r>
    </w:p>
    <w:p>
      <w:pPr>
        <w:keepNext w:val="0"/>
        <w:keepLines w:val="0"/>
        <w:widowControl/>
        <w:suppressLineNumbers w:val="0"/>
        <w:shd w:val="clear" w:fill="FFFFFF"/>
        <w:spacing w:before="0" w:beforeAutospacing="0" w:after="0" w:afterAutospacing="0" w:line="555" w:lineRule="atLeast"/>
        <w:ind w:left="0" w:right="0" w:firstLine="600"/>
        <w:jc w:val="right"/>
        <w:rPr>
          <w:rFonts w:hint="eastAsia" w:ascii="微软雅黑" w:hAnsi="微软雅黑" w:eastAsia="微软雅黑" w:cs="微软雅黑"/>
          <w:sz w:val="27"/>
          <w:szCs w:val="27"/>
        </w:rPr>
      </w:pPr>
      <w:r>
        <w:rPr>
          <w:rFonts w:hint="eastAsia" w:ascii="宋体" w:hAnsi="宋体" w:eastAsia="宋体" w:cs="宋体"/>
          <w:i w:val="0"/>
          <w:caps w:val="0"/>
          <w:color w:val="000000"/>
          <w:spacing w:val="0"/>
          <w:kern w:val="0"/>
          <w:sz w:val="24"/>
          <w:szCs w:val="24"/>
          <w:shd w:val="clear" w:fill="FFFFFF"/>
          <w:lang w:val="en-US" w:eastAsia="zh-CN" w:bidi="ar"/>
        </w:rPr>
        <w:t>                   2016年11月10日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14756"/>
    <w:rsid w:val="41F14756"/>
    <w:rsid w:val="600C1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2020-05-20T03:02:00Z</dcterms:created>
  <dc:creator>杨红娟</dc:creator>
  <cp:lastModifiedBy>杨红娟</cp:lastModifiedBy>
  <dcterms:modified xsi:type="dcterms:W3CDTF">2020-09-02T02:59:05Z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